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4A373" w14:textId="7489DC3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  <w:r w:rsidR="00F67380">
        <w:rPr>
          <w:color w:val="FF5200" w:themeColor="accent2"/>
          <w:sz w:val="36"/>
          <w:szCs w:val="36"/>
          <w:lang w:eastAsia="en-US"/>
        </w:rPr>
        <w:t xml:space="preserve">pro část </w:t>
      </w:r>
      <w:r w:rsidR="00894AD5">
        <w:rPr>
          <w:color w:val="FF5200" w:themeColor="accent2"/>
          <w:sz w:val="36"/>
          <w:szCs w:val="36"/>
          <w:lang w:eastAsia="en-US"/>
        </w:rPr>
        <w:t>B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AF5D0E7" w:rsidR="00D85C5B" w:rsidRPr="00B9721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B9721B">
        <w:rPr>
          <w:rFonts w:eastAsia="Times New Roman" w:cs="Times New Roman"/>
          <w:lang w:eastAsia="cs-CZ"/>
        </w:rPr>
        <w:t xml:space="preserve">zastoupená </w:t>
      </w:r>
      <w:r w:rsidR="00B9721B" w:rsidRPr="00B9721B">
        <w:rPr>
          <w:rFonts w:eastAsia="Times New Roman" w:cs="Times New Roman"/>
          <w:lang w:eastAsia="cs-CZ"/>
        </w:rPr>
        <w:t>Bc. Jiřím Svobodou, MBA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C5FCA26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Pr="00B9721B">
        <w:rPr>
          <w:lang w:eastAsia="cs-CZ"/>
        </w:rPr>
        <w:t>zadávacího</w:t>
      </w:r>
      <w:r w:rsidRPr="000C5DA0">
        <w:rPr>
          <w:lang w:eastAsia="cs-CZ"/>
        </w:rPr>
        <w:t xml:space="preserve"> řízení veřejné zakázky s názvem „</w:t>
      </w:r>
      <w:r w:rsidR="00B9721B">
        <w:rPr>
          <w:lang w:eastAsia="cs-CZ"/>
        </w:rPr>
        <w:t xml:space="preserve">Pořízení užitkových vozidel </w:t>
      </w:r>
      <w:proofErr w:type="gramStart"/>
      <w:r w:rsidR="00B9721B">
        <w:rPr>
          <w:lang w:eastAsia="cs-CZ"/>
        </w:rPr>
        <w:t>2023 - 2024</w:t>
      </w:r>
      <w:proofErr w:type="gramEnd"/>
      <w:r w:rsidRPr="004E19DE">
        <w:rPr>
          <w:highlight w:val="yellow"/>
          <w:lang w:eastAsia="cs-CZ"/>
        </w:rPr>
        <w:t xml:space="preserve">“, ev. č. veřejné zakázky ve věstníku veřejných zakázek: …………………… </w:t>
      </w:r>
      <w:r w:rsidR="001C22E7" w:rsidRPr="001E612E">
        <w:rPr>
          <w:rFonts w:eastAsia="Times New Roman" w:cs="Times New Roman"/>
          <w:highlight w:val="yellow"/>
          <w:lang w:eastAsia="cs-CZ"/>
        </w:rPr>
        <w:t xml:space="preserve">/ č.j. </w:t>
      </w:r>
      <w:r w:rsidR="001C22E7" w:rsidRPr="00F20995">
        <w:rPr>
          <w:rFonts w:eastAsia="Times New Roman" w:cs="Times New Roman"/>
          <w:highlight w:val="yellow"/>
          <w:lang w:eastAsia="cs-CZ"/>
        </w:rPr>
        <w:t>veřejné zakázky</w:t>
      </w:r>
      <w:r w:rsidR="00F20995" w:rsidRPr="00F20995">
        <w:rPr>
          <w:rFonts w:eastAsia="Times New Roman" w:cs="Times New Roman"/>
          <w:highlight w:val="yellow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B07C41A" w:rsidR="00D85C5B" w:rsidRPr="00A057F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Předmětem koupě je</w:t>
      </w:r>
      <w:r w:rsidR="00A47D6D" w:rsidRPr="00A057F3">
        <w:rPr>
          <w:rFonts w:eastAsia="Times New Roman" w:cs="Times New Roman"/>
          <w:lang w:eastAsia="cs-CZ"/>
        </w:rPr>
        <w:t xml:space="preserve"> nákup užitkových vozidel</w:t>
      </w:r>
      <w:r w:rsidR="00EE2D69" w:rsidRPr="00A057F3">
        <w:rPr>
          <w:rFonts w:eastAsia="Times New Roman" w:cs="Times New Roman"/>
          <w:lang w:eastAsia="cs-CZ"/>
        </w:rPr>
        <w:t xml:space="preserve"> uvedených v</w:t>
      </w:r>
      <w:r w:rsidR="00A057F3" w:rsidRPr="00A057F3">
        <w:rPr>
          <w:rFonts w:eastAsia="Times New Roman" w:cs="Times New Roman"/>
          <w:lang w:eastAsia="cs-CZ"/>
        </w:rPr>
        <w:t xml:space="preserve"> Příloze č. </w:t>
      </w:r>
      <w:r w:rsidR="00E3315C" w:rsidRPr="00AE0D0C">
        <w:rPr>
          <w:rFonts w:eastAsia="Times New Roman" w:cs="Times New Roman"/>
          <w:lang w:eastAsia="cs-CZ"/>
        </w:rPr>
        <w:t>2</w:t>
      </w:r>
      <w:r w:rsidR="00894AD5" w:rsidRPr="00AE0D0C">
        <w:rPr>
          <w:rFonts w:eastAsia="Times New Roman" w:cs="Times New Roman"/>
          <w:lang w:eastAsia="cs-CZ"/>
        </w:rPr>
        <w:t>b a 2c</w:t>
      </w:r>
      <w:r w:rsidR="00A057F3" w:rsidRPr="00A057F3">
        <w:rPr>
          <w:rFonts w:eastAsia="Times New Roman" w:cs="Times New Roman"/>
          <w:lang w:eastAsia="cs-CZ"/>
        </w:rPr>
        <w:t xml:space="preserve"> Smlouvy, včetně přesného počtu pořizovaných užitkových vozidel</w:t>
      </w:r>
      <w:r w:rsidRPr="00A057F3">
        <w:rPr>
          <w:rFonts w:eastAsia="Times New Roman" w:cs="Times New Roman"/>
          <w:lang w:eastAsia="cs-CZ"/>
        </w:rPr>
        <w:t>.</w:t>
      </w:r>
    </w:p>
    <w:p w14:paraId="01CA54BB" w14:textId="127AC79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Přesná specifikace je uvedena v příloze č. </w:t>
      </w:r>
      <w:r w:rsidR="00E3315C" w:rsidRPr="00AE0D0C">
        <w:rPr>
          <w:rFonts w:eastAsia="Times New Roman" w:cs="Times New Roman"/>
          <w:lang w:eastAsia="cs-CZ"/>
        </w:rPr>
        <w:t>2</w:t>
      </w:r>
      <w:r w:rsidR="00894AD5" w:rsidRPr="00AE0D0C">
        <w:rPr>
          <w:rFonts w:eastAsia="Times New Roman" w:cs="Times New Roman"/>
          <w:lang w:eastAsia="cs-CZ"/>
        </w:rPr>
        <w:t>b a 2c</w:t>
      </w:r>
      <w:r w:rsidR="00A47D6D" w:rsidRPr="00A057F3">
        <w:rPr>
          <w:rFonts w:eastAsia="Times New Roman" w:cs="Times New Roman"/>
          <w:lang w:eastAsia="cs-CZ"/>
        </w:rPr>
        <w:t xml:space="preserve"> </w:t>
      </w:r>
      <w:r w:rsidRPr="00A057F3">
        <w:rPr>
          <w:rFonts w:eastAsia="Times New Roman" w:cs="Times New Roman"/>
          <w:lang w:eastAsia="cs-CZ"/>
        </w:rPr>
        <w:t xml:space="preserve">této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ouvy.</w:t>
      </w:r>
    </w:p>
    <w:p w14:paraId="7F1924C1" w14:textId="593BBB5D" w:rsidR="00352CF3" w:rsidRDefault="008E2DBE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</w:t>
      </w:r>
      <w:r w:rsidR="00352CF3" w:rsidRPr="00352CF3">
        <w:rPr>
          <w:rFonts w:eastAsia="Times New Roman" w:cs="Times New Roman"/>
          <w:lang w:eastAsia="cs-CZ"/>
        </w:rPr>
        <w:t>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194DD251" w14:textId="5BFDE736" w:rsidR="003451B2" w:rsidRPr="00352CF3" w:rsidRDefault="003451B2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Všechna dodávaná vozidla musí splňovat aktuálně platnou emisní normu.</w:t>
      </w:r>
    </w:p>
    <w:p w14:paraId="02A3E9B1" w14:textId="7E56F281" w:rsidR="00352CF3" w:rsidRPr="00352CF3" w:rsidRDefault="00E22125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</w:t>
      </w:r>
      <w:r w:rsidR="00352CF3" w:rsidRPr="00352CF3">
        <w:rPr>
          <w:rFonts w:eastAsia="Times New Roman" w:cs="Times New Roman"/>
          <w:lang w:eastAsia="cs-CZ"/>
        </w:rPr>
        <w:t xml:space="preserve"> musí být nov</w:t>
      </w:r>
      <w:r>
        <w:rPr>
          <w:rFonts w:eastAsia="Times New Roman" w:cs="Times New Roman"/>
          <w:lang w:eastAsia="cs-CZ"/>
        </w:rPr>
        <w:t>ý</w:t>
      </w:r>
      <w:r w:rsidR="00352CF3" w:rsidRPr="00352CF3">
        <w:rPr>
          <w:rFonts w:eastAsia="Times New Roman" w:cs="Times New Roman"/>
          <w:lang w:eastAsia="cs-CZ"/>
        </w:rPr>
        <w:t>, s maximálním nájezdem do 70 km.</w:t>
      </w:r>
    </w:p>
    <w:p w14:paraId="6548DC3A" w14:textId="77777777" w:rsidR="00352CF3" w:rsidRPr="00352CF3" w:rsidRDefault="00352CF3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CF3">
        <w:rPr>
          <w:rFonts w:eastAsia="Times New Roman" w:cs="Times New Roman"/>
          <w:lang w:eastAsia="cs-CZ"/>
        </w:rPr>
        <w:t>Na nabízených užitkových vozidlech musí být proveden kompletní předprodejní servis.</w:t>
      </w:r>
    </w:p>
    <w:p w14:paraId="7CF9FAB5" w14:textId="4C7B14EB" w:rsidR="00352CF3" w:rsidRPr="00A057F3" w:rsidRDefault="00A5087C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je povinen zajistit</w:t>
      </w:r>
      <w:r w:rsidR="00352CF3" w:rsidRPr="00352CF3">
        <w:rPr>
          <w:rFonts w:eastAsia="Times New Roman" w:cs="Times New Roman"/>
          <w:lang w:eastAsia="cs-CZ"/>
        </w:rPr>
        <w:t xml:space="preserve"> přihlášení </w:t>
      </w:r>
      <w:r w:rsidR="009417EB">
        <w:rPr>
          <w:rFonts w:eastAsia="Times New Roman" w:cs="Times New Roman"/>
          <w:lang w:eastAsia="cs-CZ"/>
        </w:rPr>
        <w:t>předmětu koupě (</w:t>
      </w:r>
      <w:r w:rsidR="00352CF3" w:rsidRPr="00352CF3">
        <w:rPr>
          <w:rFonts w:eastAsia="Times New Roman" w:cs="Times New Roman"/>
          <w:lang w:eastAsia="cs-CZ"/>
        </w:rPr>
        <w:t>vozidel</w:t>
      </w:r>
      <w:r w:rsidR="009417EB">
        <w:rPr>
          <w:rFonts w:eastAsia="Times New Roman" w:cs="Times New Roman"/>
          <w:lang w:eastAsia="cs-CZ"/>
        </w:rPr>
        <w:t>)</w:t>
      </w:r>
      <w:r w:rsidR="00352CF3" w:rsidRPr="00352CF3">
        <w:rPr>
          <w:rFonts w:eastAsia="Times New Roman" w:cs="Times New Roman"/>
          <w:lang w:eastAsia="cs-CZ"/>
        </w:rPr>
        <w:t xml:space="preserve"> do registru silničních vozidel</w:t>
      </w:r>
      <w:r w:rsidR="00F36C66">
        <w:rPr>
          <w:rFonts w:eastAsia="Times New Roman" w:cs="Times New Roman"/>
          <w:lang w:eastAsia="cs-CZ"/>
        </w:rPr>
        <w:t>, pokud se smluvní strany nedohodnou jinak</w:t>
      </w:r>
      <w:r w:rsidR="00352CF3" w:rsidRPr="00352CF3">
        <w:rPr>
          <w:rFonts w:eastAsia="Times New Roman" w:cs="Times New Roman"/>
          <w:lang w:eastAsia="cs-CZ"/>
        </w:rPr>
        <w:t xml:space="preserve">. Poplatek za registraci vozidel musí být </w:t>
      </w:r>
      <w:r w:rsidR="00F36C66">
        <w:rPr>
          <w:rFonts w:eastAsia="Times New Roman" w:cs="Times New Roman"/>
          <w:lang w:eastAsia="cs-CZ"/>
        </w:rPr>
        <w:t xml:space="preserve">vždy </w:t>
      </w:r>
      <w:r w:rsidR="00352CF3" w:rsidRPr="00352CF3">
        <w:rPr>
          <w:rFonts w:eastAsia="Times New Roman" w:cs="Times New Roman"/>
          <w:lang w:eastAsia="cs-CZ"/>
        </w:rPr>
        <w:t>zahrnut v pořizovací ceně vozidel.</w:t>
      </w:r>
    </w:p>
    <w:p w14:paraId="29584421" w14:textId="2BBC721F" w:rsidR="00D85C5B" w:rsidRPr="00A057F3" w:rsidRDefault="00D85C5B" w:rsidP="000E4F4B">
      <w:pPr>
        <w:pStyle w:val="Nadpis1"/>
        <w:rPr>
          <w:rFonts w:eastAsia="Times New Roman"/>
          <w:lang w:eastAsia="cs-CZ"/>
        </w:rPr>
      </w:pPr>
      <w:r w:rsidRPr="00A057F3">
        <w:rPr>
          <w:rStyle w:val="Siln"/>
          <w:rFonts w:eastAsiaTheme="majorEastAsia"/>
          <w:b/>
        </w:rPr>
        <w:lastRenderedPageBreak/>
        <w:t>Kupní</w:t>
      </w:r>
      <w:r w:rsidRPr="00A057F3">
        <w:rPr>
          <w:rFonts w:eastAsia="Times New Roman"/>
          <w:lang w:eastAsia="cs-CZ"/>
        </w:rPr>
        <w:t xml:space="preserve"> cena </w:t>
      </w:r>
      <w:r w:rsidR="00F20995" w:rsidRPr="00A057F3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</w:t>
      </w:r>
      <w:proofErr w:type="gramStart"/>
      <w:r w:rsidRPr="001B0695">
        <w:rPr>
          <w:rFonts w:eastAsia="Times New Roman" w:cs="Times New Roman"/>
          <w:lang w:eastAsia="cs-CZ"/>
        </w:rPr>
        <w:t>21%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7A205F7" w14:textId="6898AA21" w:rsidR="002B20CA" w:rsidRPr="00A057F3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uvními stranami</w:t>
      </w:r>
      <w:r w:rsidR="002B20CA" w:rsidRPr="00A057F3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D428196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Místo dodání </w:t>
      </w:r>
      <w:r w:rsidR="00973F65" w:rsidRPr="00D84A66">
        <w:rPr>
          <w:rFonts w:eastAsia="Times New Roman" w:cs="Times New Roman"/>
          <w:lang w:eastAsia="cs-CZ"/>
        </w:rPr>
        <w:t xml:space="preserve">jsou </w:t>
      </w:r>
      <w:r w:rsidR="00973F65" w:rsidRPr="00D84A66">
        <w:rPr>
          <w:noProof/>
        </w:rPr>
        <w:t>areály organizačních složek Zadavatele</w:t>
      </w:r>
      <w:r w:rsidR="008903EB">
        <w:rPr>
          <w:rFonts w:eastAsia="Times New Roman" w:cs="Times New Roman"/>
          <w:lang w:eastAsia="cs-CZ"/>
        </w:rPr>
        <w:t>:</w:t>
      </w:r>
    </w:p>
    <w:p w14:paraId="0B723994" w14:textId="77777777" w:rsid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798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1630"/>
        <w:gridCol w:w="425"/>
        <w:gridCol w:w="2693"/>
        <w:gridCol w:w="2322"/>
      </w:tblGrid>
      <w:tr w:rsidR="002F6411" w14:paraId="1E895DBF" w14:textId="77777777" w:rsidTr="002F6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C3A" w14:textId="7B0EBAA1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Pohon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EDB" w14:textId="754ED6EC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Provedení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3D5" w14:textId="1F8659C4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361" w14:textId="329A535A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Organizační jednotka SŽ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D146" w14:textId="4FE9893B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Místo plnění</w:t>
            </w:r>
          </w:p>
        </w:tc>
      </w:tr>
      <w:tr w:rsidR="005B3DA8" w14:paraId="62813A67" w14:textId="77777777" w:rsidTr="005B3DA8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</w:tcBorders>
          </w:tcPr>
          <w:p w14:paraId="16DE30D8" w14:textId="24871DB2" w:rsidR="005B3DA8" w:rsidRPr="00AE0D0C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AE0D0C">
              <w:rPr>
                <w:rFonts w:eastAsia="Times New Roman" w:cs="Times New Roman"/>
                <w:lang w:eastAsia="cs-CZ"/>
              </w:rPr>
              <w:t>4x</w:t>
            </w:r>
            <w:r w:rsidR="00AE0D0C" w:rsidRPr="00AE0D0C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bottom"/>
          </w:tcPr>
          <w:p w14:paraId="52BCF51E" w14:textId="329ADBCD" w:rsidR="005B3DA8" w:rsidRPr="002F6411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dle přílohy č. 2</w:t>
            </w:r>
            <w:r w:rsidR="00AE0D0C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 xml:space="preserve"> a 2</w:t>
            </w:r>
            <w:r w:rsidR="00AE0D0C">
              <w:rPr>
                <w:rFonts w:ascii="Verdana" w:hAnsi="Verdana"/>
                <w:sz w:val="16"/>
                <w:szCs w:val="16"/>
              </w:rPr>
              <w:t>c</w:t>
            </w:r>
            <w:r w:rsidRPr="002F6411">
              <w:rPr>
                <w:rFonts w:ascii="Verdana" w:hAnsi="Verdana"/>
                <w:sz w:val="16"/>
                <w:szCs w:val="16"/>
              </w:rPr>
              <w:t xml:space="preserve"> Technická specifikace vozidel </w:t>
            </w:r>
            <w:r w:rsidRPr="00AE0D0C">
              <w:rPr>
                <w:rFonts w:ascii="Verdana" w:hAnsi="Verdana"/>
                <w:sz w:val="16"/>
                <w:szCs w:val="16"/>
              </w:rPr>
              <w:t>UV 4x</w:t>
            </w:r>
            <w:r w:rsidR="00AE0D0C" w:rsidRPr="00AE0D0C">
              <w:rPr>
                <w:rFonts w:ascii="Verdana" w:hAnsi="Verdana"/>
                <w:sz w:val="16"/>
                <w:szCs w:val="16"/>
              </w:rPr>
              <w:t>2</w:t>
            </w:r>
            <w:r w:rsidRPr="002F641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2F6411">
              <w:rPr>
                <w:rFonts w:ascii="Verdana" w:hAnsi="Verdana"/>
                <w:sz w:val="16"/>
                <w:szCs w:val="16"/>
              </w:rPr>
              <w:t>M)</w:t>
            </w:r>
          </w:p>
          <w:p w14:paraId="65049ABE" w14:textId="53A5B5C8" w:rsidR="005B3DA8" w:rsidRPr="005B3DA8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14:paraId="7CB167C7" w14:textId="4AA0D0B8" w:rsidR="005B3DA8" w:rsidRPr="002F6411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3CE727B1" w14:textId="27E2E441" w:rsidR="005B3DA8" w:rsidRPr="005B3DA8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5B3DA8">
              <w:rPr>
                <w:rFonts w:ascii="Verdana" w:hAnsi="Verdana"/>
                <w:sz w:val="16"/>
                <w:szCs w:val="16"/>
              </w:rPr>
              <w:t>HZS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bottom"/>
          </w:tcPr>
          <w:p w14:paraId="0AEA8872" w14:textId="1D093E1F" w:rsidR="005B3DA8" w:rsidRPr="005B3DA8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5B3DA8">
              <w:rPr>
                <w:rFonts w:ascii="Verdana" w:hAnsi="Verdana"/>
                <w:sz w:val="16"/>
                <w:szCs w:val="16"/>
              </w:rPr>
              <w:t>Chodovská 1430/</w:t>
            </w:r>
            <w:proofErr w:type="gramStart"/>
            <w:r w:rsidRPr="005B3DA8">
              <w:rPr>
                <w:rFonts w:ascii="Verdana" w:hAnsi="Verdana"/>
                <w:sz w:val="16"/>
                <w:szCs w:val="16"/>
              </w:rPr>
              <w:t>3a</w:t>
            </w:r>
            <w:proofErr w:type="gramEnd"/>
            <w:r w:rsidRPr="005B3DA8">
              <w:rPr>
                <w:rFonts w:ascii="Verdana" w:hAnsi="Verdana"/>
                <w:sz w:val="16"/>
                <w:szCs w:val="16"/>
              </w:rPr>
              <w:br/>
              <w:t>141 00 Praha 4</w:t>
            </w:r>
          </w:p>
        </w:tc>
      </w:tr>
      <w:tr w:rsidR="005B3DA8" w14:paraId="5596C4F2" w14:textId="77777777" w:rsidTr="005B3DA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57F42D09" w14:textId="3E7FC3CA" w:rsidR="005B3DA8" w:rsidRPr="00AE0D0C" w:rsidRDefault="00AE0D0C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AE0D0C">
              <w:rPr>
                <w:rFonts w:eastAsia="Times New Roman" w:cs="Times New Roman"/>
                <w:lang w:eastAsia="cs-CZ"/>
              </w:rPr>
              <w:t>4x2</w:t>
            </w:r>
          </w:p>
        </w:tc>
        <w:tc>
          <w:tcPr>
            <w:tcW w:w="1630" w:type="dxa"/>
            <w:vMerge/>
            <w:vAlign w:val="bottom"/>
          </w:tcPr>
          <w:p w14:paraId="4D708F08" w14:textId="0ABD0F7E" w:rsidR="005B3DA8" w:rsidRPr="002F6411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722BFACC" w14:textId="798A530B" w:rsidR="005B3DA8" w:rsidRPr="002F6411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bottom"/>
          </w:tcPr>
          <w:p w14:paraId="1C415C99" w14:textId="465B5220" w:rsidR="005B3DA8" w:rsidRPr="005B3DA8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5B3DA8">
              <w:rPr>
                <w:rFonts w:ascii="Verdana" w:hAnsi="Verdana"/>
                <w:sz w:val="16"/>
                <w:szCs w:val="16"/>
              </w:rPr>
              <w:t xml:space="preserve">Generální ředitelství </w:t>
            </w:r>
          </w:p>
        </w:tc>
        <w:tc>
          <w:tcPr>
            <w:tcW w:w="2322" w:type="dxa"/>
            <w:vAlign w:val="bottom"/>
          </w:tcPr>
          <w:p w14:paraId="128A100F" w14:textId="06A0DA19" w:rsidR="005B3DA8" w:rsidRPr="005B3DA8" w:rsidRDefault="005B3DA8" w:rsidP="005B3DA8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5B3DA8">
              <w:rPr>
                <w:rFonts w:ascii="Verdana" w:hAnsi="Verdana"/>
                <w:sz w:val="16"/>
                <w:szCs w:val="16"/>
              </w:rPr>
              <w:t>areál Florenc</w:t>
            </w:r>
            <w:r w:rsidRPr="005B3DA8">
              <w:rPr>
                <w:rFonts w:ascii="Verdana" w:hAnsi="Verdana"/>
                <w:sz w:val="16"/>
                <w:szCs w:val="16"/>
              </w:rPr>
              <w:br/>
              <w:t>Pod Výtopnou, 186 00 Praha</w:t>
            </w:r>
          </w:p>
        </w:tc>
      </w:tr>
    </w:tbl>
    <w:p w14:paraId="2C90344B" w14:textId="77777777" w:rsidR="008903EB" w:rsidRP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115D35D" w14:textId="151894D5" w:rsidR="00D85C5B" w:rsidRPr="00D84A66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Předmět koupě bude dodán do </w:t>
      </w:r>
      <w:r w:rsidR="00360166" w:rsidRPr="00D84A66">
        <w:rPr>
          <w:rFonts w:eastAsia="Times New Roman" w:cs="Times New Roman"/>
          <w:lang w:eastAsia="cs-CZ"/>
        </w:rPr>
        <w:t>31</w:t>
      </w:r>
      <w:r w:rsidR="00E6548C" w:rsidRPr="00D84A66">
        <w:rPr>
          <w:rFonts w:eastAsia="Times New Roman" w:cs="Times New Roman"/>
          <w:lang w:eastAsia="cs-CZ"/>
        </w:rPr>
        <w:t>. 12. 2024</w:t>
      </w:r>
      <w:r w:rsidRPr="00D84A66">
        <w:rPr>
          <w:rFonts w:eastAsia="Times New Roman" w:cs="Times New Roman"/>
          <w:lang w:eastAsia="cs-CZ"/>
        </w:rPr>
        <w:t>.</w:t>
      </w:r>
      <w:r w:rsidR="008565B7" w:rsidRPr="00D84A66">
        <w:rPr>
          <w:rFonts w:eastAsia="Times New Roman" w:cs="Times New Roman"/>
          <w:lang w:eastAsia="cs-CZ"/>
        </w:rPr>
        <w:t xml:space="preserve"> Jednotlivé kusy užitkových vozidel bude Prodávající dodávat Kupujícímu průběžně tak, jak je bude mít k</w:t>
      </w:r>
      <w:r w:rsidR="003F49CE" w:rsidRPr="00D84A66">
        <w:rPr>
          <w:rFonts w:eastAsia="Times New Roman" w:cs="Times New Roman"/>
          <w:lang w:eastAsia="cs-CZ"/>
        </w:rPr>
        <w:t> </w:t>
      </w:r>
      <w:r w:rsidR="008565B7" w:rsidRPr="00D84A66">
        <w:rPr>
          <w:rFonts w:eastAsia="Times New Roman" w:cs="Times New Roman"/>
          <w:lang w:eastAsia="cs-CZ"/>
        </w:rPr>
        <w:t>dispozici</w:t>
      </w:r>
      <w:r w:rsidR="003F49CE" w:rsidRPr="00D84A66">
        <w:rPr>
          <w:rFonts w:eastAsia="Times New Roman" w:cs="Times New Roman"/>
          <w:lang w:eastAsia="cs-CZ"/>
        </w:rPr>
        <w:t>.</w:t>
      </w:r>
    </w:p>
    <w:p w14:paraId="4D5A70EC" w14:textId="6231B90E" w:rsidR="00D85C5B" w:rsidRPr="00D84A66" w:rsidRDefault="00D85C5B" w:rsidP="000E4F4B">
      <w:pPr>
        <w:pStyle w:val="Nadpis1"/>
        <w:rPr>
          <w:rFonts w:eastAsia="Times New Roman"/>
          <w:lang w:eastAsia="cs-CZ"/>
        </w:rPr>
      </w:pPr>
      <w:r w:rsidRPr="00D84A66">
        <w:rPr>
          <w:rFonts w:eastAsia="Times New Roman"/>
          <w:lang w:eastAsia="cs-CZ"/>
        </w:rPr>
        <w:t>Přeprava předmětu koupě</w:t>
      </w:r>
      <w:r w:rsidR="00360166" w:rsidRPr="00D84A66">
        <w:rPr>
          <w:rFonts w:eastAsia="Times New Roman"/>
          <w:lang w:eastAsia="cs-CZ"/>
        </w:rPr>
        <w:t xml:space="preserve"> </w:t>
      </w:r>
    </w:p>
    <w:p w14:paraId="21AAFB48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455A0245" w:rsidR="00D85C5B" w:rsidRPr="00AE0D0C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 xml:space="preserve">Prodávající předá Kupujícímu </w:t>
      </w:r>
      <w:r w:rsidR="00AB2F7F" w:rsidRPr="00AE0D0C">
        <w:rPr>
          <w:rFonts w:eastAsia="Times New Roman" w:cs="Times New Roman"/>
          <w:lang w:eastAsia="cs-CZ"/>
        </w:rPr>
        <w:t xml:space="preserve">minimálně </w:t>
      </w:r>
      <w:r w:rsidRPr="00AE0D0C">
        <w:rPr>
          <w:rFonts w:eastAsia="Times New Roman" w:cs="Times New Roman"/>
          <w:lang w:eastAsia="cs-CZ"/>
        </w:rPr>
        <w:t>následující listiny vztahující se k předmětu koupě:</w:t>
      </w:r>
    </w:p>
    <w:p w14:paraId="375B7E39" w14:textId="7A167A24" w:rsidR="00D85C5B" w:rsidRPr="009A0691" w:rsidRDefault="009D1BE5" w:rsidP="009A0691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 xml:space="preserve">Osvědčení o registraci vozidla </w:t>
      </w:r>
      <w:r w:rsidR="00A067B4" w:rsidRPr="00AE0D0C">
        <w:rPr>
          <w:rFonts w:eastAsia="Times New Roman" w:cs="Times New Roman"/>
          <w:lang w:eastAsia="cs-CZ"/>
        </w:rPr>
        <w:t xml:space="preserve">část I. </w:t>
      </w:r>
      <w:r w:rsidRPr="00AE0D0C">
        <w:rPr>
          <w:rFonts w:eastAsia="Times New Roman" w:cs="Times New Roman"/>
          <w:lang w:eastAsia="cs-CZ"/>
        </w:rPr>
        <w:t xml:space="preserve">(tzv. </w:t>
      </w:r>
      <w:r w:rsidR="00A067B4" w:rsidRPr="00AE0D0C">
        <w:rPr>
          <w:rFonts w:eastAsia="Times New Roman" w:cs="Times New Roman"/>
          <w:lang w:eastAsia="cs-CZ"/>
        </w:rPr>
        <w:t>malý</w:t>
      </w:r>
      <w:r w:rsidRPr="00AE0D0C">
        <w:rPr>
          <w:rFonts w:eastAsia="Times New Roman" w:cs="Times New Roman"/>
          <w:lang w:eastAsia="cs-CZ"/>
        </w:rPr>
        <w:t xml:space="preserve"> technický průkaz)</w:t>
      </w:r>
      <w:r w:rsidR="00D85C5B" w:rsidRPr="00AE0D0C">
        <w:rPr>
          <w:rFonts w:eastAsia="Times New Roman" w:cs="Times New Roman"/>
          <w:lang w:eastAsia="cs-CZ"/>
        </w:rPr>
        <w:t xml:space="preserve">, </w:t>
      </w:r>
      <w:r w:rsidR="009A0691" w:rsidRPr="00921B12">
        <w:rPr>
          <w:rFonts w:eastAsia="Times New Roman" w:cs="Times New Roman"/>
          <w:lang w:eastAsia="cs-CZ"/>
        </w:rPr>
        <w:t xml:space="preserve">pokud se smluvní strany nedohodnou jinak dle </w:t>
      </w:r>
      <w:r w:rsidR="00D659BD">
        <w:rPr>
          <w:rFonts w:eastAsia="Times New Roman" w:cs="Times New Roman"/>
          <w:lang w:eastAsia="cs-CZ"/>
        </w:rPr>
        <w:t>odst.</w:t>
      </w:r>
      <w:r w:rsidR="009A0691" w:rsidRPr="00921B12">
        <w:rPr>
          <w:rFonts w:eastAsia="Times New Roman" w:cs="Times New Roman"/>
          <w:lang w:eastAsia="cs-CZ"/>
        </w:rPr>
        <w:t xml:space="preserve"> 1.7.</w:t>
      </w:r>
      <w:r w:rsidR="00D659BD">
        <w:rPr>
          <w:rFonts w:eastAsia="Times New Roman" w:cs="Times New Roman"/>
          <w:lang w:eastAsia="cs-CZ"/>
        </w:rPr>
        <w:t xml:space="preserve"> Smlouvy</w:t>
      </w:r>
      <w:r w:rsidR="009A0691" w:rsidRPr="00921B12">
        <w:rPr>
          <w:rFonts w:eastAsia="Times New Roman" w:cs="Times New Roman"/>
          <w:lang w:eastAsia="cs-CZ"/>
        </w:rPr>
        <w:t xml:space="preserve">, </w:t>
      </w:r>
    </w:p>
    <w:p w14:paraId="247584B4" w14:textId="3BF65F1C" w:rsidR="00D85C5B" w:rsidRPr="009A0691" w:rsidRDefault="00A067B4" w:rsidP="009A0691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Osvědčení o registraci vozidla část II. (tzv. velký technický průkaz)</w:t>
      </w:r>
      <w:r w:rsidR="00EA608E" w:rsidRPr="00AE0D0C">
        <w:rPr>
          <w:rFonts w:eastAsia="Times New Roman" w:cs="Times New Roman"/>
          <w:lang w:eastAsia="cs-CZ"/>
        </w:rPr>
        <w:t>,</w:t>
      </w:r>
      <w:r w:rsidR="009A0691">
        <w:rPr>
          <w:rFonts w:eastAsia="Times New Roman" w:cs="Times New Roman"/>
          <w:lang w:eastAsia="cs-CZ"/>
        </w:rPr>
        <w:t xml:space="preserve"> </w:t>
      </w:r>
      <w:r w:rsidR="009A0691" w:rsidRPr="00921B12">
        <w:rPr>
          <w:rFonts w:eastAsia="Times New Roman" w:cs="Times New Roman"/>
          <w:lang w:eastAsia="cs-CZ"/>
        </w:rPr>
        <w:t xml:space="preserve">pokud se smluvní strany nedohodnou jinak dle </w:t>
      </w:r>
      <w:r w:rsidR="00D659BD">
        <w:rPr>
          <w:rFonts w:eastAsia="Times New Roman" w:cs="Times New Roman"/>
          <w:lang w:eastAsia="cs-CZ"/>
        </w:rPr>
        <w:t>odst.</w:t>
      </w:r>
      <w:r w:rsidR="009A0691" w:rsidRPr="00921B12">
        <w:rPr>
          <w:rFonts w:eastAsia="Times New Roman" w:cs="Times New Roman"/>
          <w:lang w:eastAsia="cs-CZ"/>
        </w:rPr>
        <w:t xml:space="preserve"> 1.7.</w:t>
      </w:r>
      <w:r w:rsidR="00D659BD">
        <w:rPr>
          <w:rFonts w:eastAsia="Times New Roman" w:cs="Times New Roman"/>
          <w:lang w:eastAsia="cs-CZ"/>
        </w:rPr>
        <w:t xml:space="preserve"> Smlouvy</w:t>
      </w:r>
      <w:bookmarkStart w:id="0" w:name="_GoBack"/>
      <w:bookmarkEnd w:id="0"/>
      <w:r w:rsidR="009A0691" w:rsidRPr="00921B12">
        <w:rPr>
          <w:rFonts w:eastAsia="Times New Roman" w:cs="Times New Roman"/>
          <w:lang w:eastAsia="cs-CZ"/>
        </w:rPr>
        <w:t xml:space="preserve">, </w:t>
      </w:r>
    </w:p>
    <w:p w14:paraId="0C7E62F6" w14:textId="3973157E" w:rsidR="00EA608E" w:rsidRPr="00AE0D0C" w:rsidRDefault="00630862" w:rsidP="00A067B4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Servisní knížku,</w:t>
      </w:r>
    </w:p>
    <w:p w14:paraId="651774A8" w14:textId="39E16FE1" w:rsidR="00AE0D0C" w:rsidRPr="00AE0D0C" w:rsidRDefault="00630862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Návod k</w:t>
      </w:r>
      <w:r w:rsidR="00AE0D0C" w:rsidRPr="00AE0D0C">
        <w:rPr>
          <w:rFonts w:eastAsia="Times New Roman" w:cs="Times New Roman"/>
          <w:lang w:eastAsia="cs-CZ"/>
        </w:rPr>
        <w:t> </w:t>
      </w:r>
      <w:r w:rsidRPr="00AE0D0C">
        <w:rPr>
          <w:rFonts w:eastAsia="Times New Roman" w:cs="Times New Roman"/>
          <w:lang w:eastAsia="cs-CZ"/>
        </w:rPr>
        <w:t>obsluze</w:t>
      </w:r>
      <w:r w:rsidR="00AE0D0C" w:rsidRPr="00AE0D0C">
        <w:rPr>
          <w:rFonts w:eastAsia="Times New Roman" w:cs="Times New Roman"/>
          <w:lang w:eastAsia="cs-CZ"/>
        </w:rPr>
        <w:t>,</w:t>
      </w:r>
    </w:p>
    <w:p w14:paraId="713EAE98" w14:textId="0D5DAF70" w:rsidR="00630862" w:rsidRPr="00AE0D0C" w:rsidRDefault="00AE0D0C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EC CERTIFICATE OF CONFORMITY, tzv. COC list</w:t>
      </w:r>
      <w:r w:rsidR="00AB2F7F" w:rsidRPr="00AE0D0C">
        <w:rPr>
          <w:rFonts w:eastAsia="Times New Roman" w:cs="Times New Roman"/>
          <w:lang w:eastAsia="cs-CZ"/>
        </w:rPr>
        <w:t>.</w:t>
      </w:r>
    </w:p>
    <w:p w14:paraId="4B70C07C" w14:textId="77777777" w:rsidR="00D85C5B" w:rsidRPr="00AE0D0C" w:rsidRDefault="00D85C5B" w:rsidP="000E4F4B">
      <w:pPr>
        <w:pStyle w:val="Nadpis1"/>
        <w:rPr>
          <w:rFonts w:eastAsia="Times New Roman"/>
          <w:lang w:eastAsia="cs-CZ"/>
        </w:rPr>
      </w:pPr>
      <w:r w:rsidRPr="00AE0D0C">
        <w:rPr>
          <w:rFonts w:eastAsia="Times New Roman"/>
          <w:lang w:eastAsia="cs-CZ"/>
        </w:rPr>
        <w:t>Záruka</w:t>
      </w:r>
    </w:p>
    <w:p w14:paraId="6AF415A5" w14:textId="3F023520" w:rsidR="009146AF" w:rsidRPr="00F812AB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Záruční doba</w:t>
      </w:r>
      <w:r w:rsidR="00A567FC" w:rsidRPr="00F812AB">
        <w:rPr>
          <w:rFonts w:eastAsia="Times New Roman" w:cs="Times New Roman"/>
          <w:lang w:eastAsia="cs-CZ"/>
        </w:rPr>
        <w:t xml:space="preserve"> na předmět koupě</w:t>
      </w:r>
      <w:r w:rsidRPr="00F812AB">
        <w:rPr>
          <w:rFonts w:eastAsia="Times New Roman" w:cs="Times New Roman"/>
          <w:lang w:eastAsia="cs-CZ"/>
        </w:rPr>
        <w:t xml:space="preserve"> </w:t>
      </w:r>
      <w:r w:rsidR="00B9721B" w:rsidRPr="00F812AB">
        <w:rPr>
          <w:rFonts w:eastAsia="Times New Roman" w:cs="Times New Roman"/>
          <w:lang w:eastAsia="cs-CZ"/>
        </w:rPr>
        <w:t xml:space="preserve">je stanovena </w:t>
      </w:r>
      <w:r w:rsidR="00B9721B" w:rsidRPr="00F812AB">
        <w:t>v</w:t>
      </w:r>
      <w:r w:rsidR="00B51FE0" w:rsidRPr="00F812AB">
        <w:t> </w:t>
      </w:r>
      <w:r w:rsidR="00B9721B" w:rsidRPr="00F812AB">
        <w:t>délce</w:t>
      </w:r>
      <w:r w:rsidR="00B51FE0" w:rsidRPr="00F812AB">
        <w:t xml:space="preserve"> </w:t>
      </w:r>
      <w:r w:rsidR="00B9721B" w:rsidRPr="00F812AB">
        <w:t>48 měsíců nebo do ujetí 150000 km, podle toho, která situace nastane dříve.</w:t>
      </w:r>
    </w:p>
    <w:p w14:paraId="20DAA2B4" w14:textId="3D53D2A9" w:rsidR="00AE3788" w:rsidRPr="00EC7528" w:rsidRDefault="00D918CB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P</w:t>
      </w:r>
      <w:r w:rsidR="007075C5" w:rsidRPr="00F812AB">
        <w:rPr>
          <w:rFonts w:eastAsia="Times New Roman" w:cs="Times New Roman"/>
          <w:lang w:eastAsia="cs-CZ"/>
        </w:rPr>
        <w:t>rodávající předá Kupujícímu Seznam smluvních autorizovaných servisů (Příloha č. 3 Smlouvy)</w:t>
      </w:r>
      <w:r w:rsidR="00C065F2" w:rsidRPr="00F812AB">
        <w:rPr>
          <w:rFonts w:eastAsia="Times New Roman" w:cs="Times New Roman"/>
          <w:lang w:eastAsia="cs-CZ"/>
        </w:rPr>
        <w:t>, ve kterých bude Kupující oprávněn</w:t>
      </w:r>
      <w:r w:rsidR="00CA0B10" w:rsidRPr="00F812AB">
        <w:rPr>
          <w:rFonts w:eastAsia="Times New Roman" w:cs="Times New Roman"/>
          <w:lang w:eastAsia="cs-CZ"/>
        </w:rPr>
        <w:t xml:space="preserve"> požadovat provedení z</w:t>
      </w:r>
      <w:r w:rsidR="00B51FE0" w:rsidRPr="00F812AB">
        <w:rPr>
          <w:rFonts w:eastAsia="Times New Roman" w:cs="Times New Roman"/>
          <w:lang w:eastAsia="cs-CZ"/>
        </w:rPr>
        <w:t>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a pozáruční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oprav a servisní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prohlíd</w:t>
      </w:r>
      <w:r w:rsidR="00CA0B10" w:rsidRPr="00F812AB">
        <w:rPr>
          <w:rFonts w:eastAsia="Times New Roman" w:cs="Times New Roman"/>
          <w:lang w:eastAsia="cs-CZ"/>
        </w:rPr>
        <w:t>e</w:t>
      </w:r>
      <w:r w:rsidR="00B51FE0" w:rsidRPr="00F812AB">
        <w:rPr>
          <w:rFonts w:eastAsia="Times New Roman" w:cs="Times New Roman"/>
          <w:lang w:eastAsia="cs-CZ"/>
        </w:rPr>
        <w:t xml:space="preserve">k </w:t>
      </w:r>
      <w:r w:rsidR="0069537C" w:rsidRPr="00F812AB">
        <w:rPr>
          <w:rFonts w:eastAsia="Times New Roman" w:cs="Times New Roman"/>
          <w:lang w:eastAsia="cs-CZ"/>
        </w:rPr>
        <w:t>předmětu koupě</w:t>
      </w:r>
      <w:r w:rsidR="00FC1CBA" w:rsidRPr="00F812AB">
        <w:rPr>
          <w:rFonts w:eastAsia="Times New Roman" w:cs="Times New Roman"/>
          <w:lang w:eastAsia="cs-CZ"/>
        </w:rPr>
        <w:t xml:space="preserve"> bez negativního vlivu na poskytnutou záruku.</w:t>
      </w:r>
      <w:r w:rsidR="00B51FE0" w:rsidRPr="00F812AB">
        <w:rPr>
          <w:rFonts w:eastAsia="Times New Roman" w:cs="Times New Roman"/>
          <w:lang w:eastAsia="cs-CZ"/>
        </w:rPr>
        <w:t xml:space="preserve"> </w:t>
      </w:r>
      <w:r w:rsidR="00FC1CBA" w:rsidRPr="00EC7528">
        <w:rPr>
          <w:rFonts w:eastAsia="Times New Roman" w:cs="Times New Roman"/>
          <w:lang w:eastAsia="cs-CZ"/>
        </w:rPr>
        <w:t>S</w:t>
      </w:r>
      <w:r w:rsidR="00B51FE0" w:rsidRPr="00EC7528">
        <w:rPr>
          <w:rFonts w:eastAsia="Times New Roman" w:cs="Times New Roman"/>
          <w:lang w:eastAsia="cs-CZ"/>
        </w:rPr>
        <w:t>mluvní autorizovan</w:t>
      </w:r>
      <w:r w:rsidR="00FC1CBA" w:rsidRPr="00EC7528">
        <w:rPr>
          <w:rFonts w:eastAsia="Times New Roman" w:cs="Times New Roman"/>
          <w:lang w:eastAsia="cs-CZ"/>
        </w:rPr>
        <w:t>é</w:t>
      </w:r>
      <w:r w:rsidR="00B51FE0" w:rsidRPr="00EC7528">
        <w:rPr>
          <w:rFonts w:eastAsia="Times New Roman" w:cs="Times New Roman"/>
          <w:lang w:eastAsia="cs-CZ"/>
        </w:rPr>
        <w:t xml:space="preserve"> servis</w:t>
      </w:r>
      <w:r w:rsidR="00FC1CBA" w:rsidRPr="00EC7528">
        <w:rPr>
          <w:rFonts w:eastAsia="Times New Roman" w:cs="Times New Roman"/>
          <w:lang w:eastAsia="cs-CZ"/>
        </w:rPr>
        <w:t>y</w:t>
      </w:r>
      <w:r w:rsidR="00A830FD" w:rsidRPr="00EC7528">
        <w:rPr>
          <w:rFonts w:eastAsia="Times New Roman" w:cs="Times New Roman"/>
          <w:lang w:eastAsia="cs-CZ"/>
        </w:rPr>
        <w:t xml:space="preserve"> musí spl</w:t>
      </w:r>
      <w:r w:rsidR="00E652C5" w:rsidRPr="00EC7528">
        <w:rPr>
          <w:rFonts w:eastAsia="Times New Roman" w:cs="Times New Roman"/>
          <w:lang w:eastAsia="cs-CZ"/>
        </w:rPr>
        <w:t>ňovat minimálně následující požadavky</w:t>
      </w:r>
      <w:r w:rsidR="003E240E" w:rsidRPr="00EC7528">
        <w:rPr>
          <w:rFonts w:eastAsia="Times New Roman" w:cs="Times New Roman"/>
          <w:lang w:eastAsia="cs-CZ"/>
        </w:rPr>
        <w:t>:</w:t>
      </w:r>
    </w:p>
    <w:p w14:paraId="4E06727B" w14:textId="0958AF5C" w:rsidR="00AE3788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dva servisy </w:t>
      </w:r>
      <w:r w:rsidR="00F06186" w:rsidRPr="00F812AB">
        <w:rPr>
          <w:rFonts w:eastAsia="Times New Roman" w:cs="Times New Roman"/>
          <w:lang w:eastAsia="cs-CZ"/>
        </w:rPr>
        <w:t>musí být</w:t>
      </w:r>
      <w:r w:rsidRPr="00F812AB">
        <w:rPr>
          <w:rFonts w:eastAsia="Times New Roman" w:cs="Times New Roman"/>
          <w:lang w:eastAsia="cs-CZ"/>
        </w:rPr>
        <w:t xml:space="preserve"> v Praze a dále minimálně jeden servis v každém kraji, </w:t>
      </w:r>
      <w:r w:rsidRPr="00F812AB">
        <w:rPr>
          <w:rFonts w:eastAsia="Times New Roman" w:cs="Times New Roman"/>
          <w:b/>
          <w:bCs/>
          <w:lang w:eastAsia="cs-CZ"/>
        </w:rPr>
        <w:t>nebo</w:t>
      </w:r>
    </w:p>
    <w:p w14:paraId="64BEC10E" w14:textId="30D6F411" w:rsidR="00B51FE0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tři servisy </w:t>
      </w:r>
      <w:r w:rsidR="00D30607" w:rsidRPr="00F812AB">
        <w:rPr>
          <w:rFonts w:eastAsia="Times New Roman" w:cs="Times New Roman"/>
          <w:lang w:eastAsia="cs-CZ"/>
        </w:rPr>
        <w:t xml:space="preserve">musí být </w:t>
      </w:r>
      <w:r w:rsidRPr="00F812AB">
        <w:rPr>
          <w:rFonts w:eastAsia="Times New Roman" w:cs="Times New Roman"/>
          <w:lang w:eastAsia="cs-CZ"/>
        </w:rPr>
        <w:t>v Praze, ve Středočeském kraji žádný a dále minimálně jeden servis v ostatních krajích</w:t>
      </w:r>
      <w:r w:rsidR="00B51FE0" w:rsidRPr="00F812AB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02B542E" w:rsidR="00A33BB9" w:rsidRPr="001D70A7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1D70A7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D70A7">
        <w:rPr>
          <w:rFonts w:eastAsia="Times New Roman" w:cs="Times New Roman"/>
          <w:b w:val="0"/>
          <w:u w:val="none"/>
          <w:lang w:eastAsia="cs-CZ"/>
        </w:rPr>
        <w:t>Koupě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B51FE0" w:rsidRPr="001D70A7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E3315C" w:rsidRPr="001D70A7">
        <w:rPr>
          <w:rFonts w:eastAsia="Times New Roman" w:cs="Times New Roman"/>
          <w:b w:val="0"/>
          <w:u w:val="none"/>
          <w:lang w:eastAsia="cs-CZ"/>
        </w:rPr>
        <w:t>4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této Smlouvy. 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lastRenderedPageBreak/>
        <w:t xml:space="preserve">Kontaktními osobami </w:t>
      </w:r>
      <w:r w:rsidR="008B1447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3E5DCCD4" w14:textId="082A65FD" w:rsidR="00174A24" w:rsidRPr="007D5F54" w:rsidRDefault="00174A24" w:rsidP="007D5F54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>Zvláštní sankční ujednání</w:t>
      </w:r>
    </w:p>
    <w:p w14:paraId="2F87A43A" w14:textId="7303360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V případě, že </w:t>
      </w:r>
      <w:r w:rsidR="00DD69A9">
        <w:rPr>
          <w:rFonts w:eastAsia="Times New Roman" w:cs="Times New Roman"/>
          <w:b w:val="0"/>
          <w:u w:val="none"/>
          <w:lang w:eastAsia="cs-CZ"/>
        </w:rPr>
        <w:t>Prodávající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nedodá </w:t>
      </w:r>
      <w:r w:rsidR="00DD69A9">
        <w:rPr>
          <w:rFonts w:eastAsia="Times New Roman" w:cs="Times New Roman"/>
          <w:b w:val="0"/>
          <w:u w:val="none"/>
          <w:lang w:eastAsia="cs-CZ"/>
        </w:rPr>
        <w:t>předmět koupě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v požadovaném termínu, je povinen zaplatit Zadavateli smluvní pokutu ve výši 0,5 % z celkové ceny nedodaných vozidel za každý den prodlení. </w:t>
      </w:r>
    </w:p>
    <w:p w14:paraId="01B41C4A" w14:textId="5197554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Zaplacení smluvní pokuty nezbavuje </w:t>
      </w:r>
      <w:r w:rsidR="00A57B07">
        <w:rPr>
          <w:rFonts w:eastAsia="Times New Roman" w:cs="Times New Roman"/>
          <w:b w:val="0"/>
          <w:u w:val="none"/>
          <w:lang w:eastAsia="cs-CZ"/>
        </w:rPr>
        <w:t>Prodávajícího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povinnosti splnit dluh smluvní pokutou utvrzený.</w:t>
      </w:r>
    </w:p>
    <w:p w14:paraId="13CA1224" w14:textId="744D2516" w:rsidR="00174A24" w:rsidRPr="00174A24" w:rsidRDefault="00A5637A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Kupující</w:t>
      </w:r>
      <w:r w:rsidR="00174A24" w:rsidRPr="007D5F54">
        <w:rPr>
          <w:rFonts w:eastAsia="Times New Roman" w:cs="Times New Roman"/>
          <w:b w:val="0"/>
          <w:u w:val="none"/>
          <w:lang w:eastAsia="cs-CZ"/>
        </w:rPr>
        <w:t xml:space="preserve"> je oprávněn požadovat náhradu škody a nemajetkové újmy způsobené porušením povinnosti, na kterou se vztahuje smluvní pokuta, v plné výši.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</w:t>
      </w:r>
      <w:r w:rsidRPr="00483C85">
        <w:rPr>
          <w:b w:val="0"/>
          <w:u w:val="none"/>
          <w:lang w:eastAsia="cs-CZ"/>
        </w:rPr>
        <w:lastRenderedPageBreak/>
        <w:t>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7E0418">
        <w:rPr>
          <w:b w:val="0"/>
          <w:u w:val="none"/>
          <w:lang w:eastAsia="cs-CZ"/>
        </w:rPr>
        <w:t xml:space="preserve">výši </w:t>
      </w:r>
      <w:r w:rsidR="00AA52E0" w:rsidRPr="007E0418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164CE" w:rsidRDefault="008B1447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709"/>
        <w:rPr>
          <w:rFonts w:eastAsia="Times New Roman" w:cs="Times New Roman"/>
          <w:b w:val="0"/>
          <w:u w:val="none"/>
          <w:lang w:eastAsia="cs-CZ"/>
        </w:rPr>
      </w:pPr>
      <w:r w:rsidRPr="00F164C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164C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A93205">
      <w:pPr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eastAsia="Times New Roman" w:cs="Times New Roman"/>
          <w:lang w:eastAsia="cs-CZ"/>
        </w:rPr>
      </w:pPr>
    </w:p>
    <w:p w14:paraId="27E88A25" w14:textId="77777777" w:rsidR="00AE0D0C" w:rsidRDefault="00AE0D0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496E4F64" w:rsidR="00D85C5B" w:rsidRPr="00AE0D0C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AE0D0C">
        <w:rPr>
          <w:rFonts w:eastAsia="Times New Roman" w:cs="Times New Roman"/>
          <w:b/>
          <w:lang w:eastAsia="cs-CZ"/>
        </w:rPr>
        <w:t>Přílohy</w:t>
      </w:r>
    </w:p>
    <w:p w14:paraId="59417ED5" w14:textId="6E13ED86" w:rsidR="00E3315C" w:rsidRPr="00AE0D0C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příloha č. 1:</w:t>
      </w:r>
      <w:r w:rsidRPr="00AE0D0C">
        <w:rPr>
          <w:rFonts w:eastAsia="Times New Roman" w:cs="Times New Roman"/>
          <w:lang w:eastAsia="cs-CZ"/>
        </w:rPr>
        <w:tab/>
      </w:r>
      <w:r w:rsidR="00EF3F0A">
        <w:rPr>
          <w:rFonts w:eastAsia="Times New Roman" w:cs="Times New Roman"/>
          <w:lang w:eastAsia="cs-CZ"/>
        </w:rPr>
        <w:t xml:space="preserve">       </w:t>
      </w:r>
      <w:r w:rsidR="00E3315C" w:rsidRPr="00AE0D0C">
        <w:rPr>
          <w:rFonts w:eastAsia="Times New Roman" w:cs="Times New Roman"/>
          <w:lang w:eastAsia="cs-CZ"/>
        </w:rPr>
        <w:t xml:space="preserve">Obchodní podmínky </w:t>
      </w:r>
    </w:p>
    <w:p w14:paraId="459A4A7A" w14:textId="2D4750FA" w:rsidR="00D85C5B" w:rsidRPr="00AE0D0C" w:rsidRDefault="00E3315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>příloha č. 2</w:t>
      </w:r>
      <w:r w:rsidR="00AB3B91">
        <w:rPr>
          <w:rFonts w:eastAsia="Times New Roman" w:cs="Times New Roman"/>
          <w:lang w:eastAsia="cs-CZ"/>
        </w:rPr>
        <w:t xml:space="preserve">b a </w:t>
      </w:r>
      <w:proofErr w:type="gramStart"/>
      <w:r w:rsidR="00AB3B91">
        <w:rPr>
          <w:rFonts w:eastAsia="Times New Roman" w:cs="Times New Roman"/>
          <w:lang w:eastAsia="cs-CZ"/>
        </w:rPr>
        <w:t>c</w:t>
      </w:r>
      <w:r w:rsidRPr="00AE0D0C">
        <w:rPr>
          <w:rFonts w:eastAsia="Times New Roman" w:cs="Times New Roman"/>
          <w:lang w:eastAsia="cs-CZ"/>
        </w:rPr>
        <w:t xml:space="preserve">:   </w:t>
      </w:r>
      <w:proofErr w:type="gramEnd"/>
      <w:r w:rsidRPr="00AE0D0C">
        <w:rPr>
          <w:rFonts w:eastAsia="Times New Roman" w:cs="Times New Roman"/>
          <w:lang w:eastAsia="cs-CZ"/>
        </w:rPr>
        <w:t xml:space="preserve">  technická </w:t>
      </w:r>
      <w:r w:rsidR="00D85C5B" w:rsidRPr="00AE0D0C">
        <w:rPr>
          <w:rFonts w:eastAsia="Times New Roman" w:cs="Times New Roman"/>
          <w:lang w:eastAsia="cs-CZ"/>
        </w:rPr>
        <w:t>specifikace předmětu koupě</w:t>
      </w:r>
    </w:p>
    <w:p w14:paraId="78888F80" w14:textId="334A988C" w:rsidR="00B51FE0" w:rsidRPr="00AE0D0C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AE0D0C">
        <w:rPr>
          <w:rFonts w:eastAsia="Times New Roman" w:cs="Times New Roman"/>
          <w:lang w:eastAsia="cs-CZ"/>
        </w:rPr>
        <w:t>3</w:t>
      </w:r>
      <w:r w:rsidRPr="00AE0D0C">
        <w:rPr>
          <w:rFonts w:eastAsia="Times New Roman" w:cs="Times New Roman"/>
          <w:lang w:eastAsia="cs-CZ"/>
        </w:rPr>
        <w:t xml:space="preserve">:   </w:t>
      </w:r>
      <w:proofErr w:type="gramEnd"/>
      <w:r w:rsidRPr="00AE0D0C">
        <w:rPr>
          <w:rFonts w:eastAsia="Times New Roman" w:cs="Times New Roman"/>
          <w:lang w:eastAsia="cs-CZ"/>
        </w:rPr>
        <w:t xml:space="preserve">  </w:t>
      </w:r>
      <w:r w:rsidR="00EF3F0A">
        <w:rPr>
          <w:rFonts w:eastAsia="Times New Roman" w:cs="Times New Roman"/>
          <w:lang w:eastAsia="cs-CZ"/>
        </w:rPr>
        <w:t xml:space="preserve">       </w:t>
      </w:r>
      <w:r w:rsidRPr="00AE0D0C">
        <w:rPr>
          <w:rFonts w:eastAsia="Times New Roman" w:cs="Times New Roman"/>
          <w:lang w:eastAsia="cs-CZ"/>
        </w:rPr>
        <w:t>seznam autorizovaných smluvních servisů</w:t>
      </w:r>
      <w:r w:rsidR="00AF5155" w:rsidRPr="00AE0D0C">
        <w:rPr>
          <w:rFonts w:eastAsia="Times New Roman" w:cs="Times New Roman"/>
          <w:lang w:eastAsia="cs-CZ"/>
        </w:rPr>
        <w:t xml:space="preserve"> (doplní dodavatel)</w:t>
      </w:r>
    </w:p>
    <w:p w14:paraId="5D45E524" w14:textId="71DD8F6B" w:rsidR="00B51FE0" w:rsidRPr="00AE0D0C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AE0D0C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AE0D0C">
        <w:rPr>
          <w:rFonts w:eastAsia="Times New Roman" w:cs="Times New Roman"/>
          <w:lang w:eastAsia="cs-CZ"/>
        </w:rPr>
        <w:t>4</w:t>
      </w:r>
      <w:r w:rsidRPr="00AE0D0C">
        <w:rPr>
          <w:rFonts w:eastAsia="Times New Roman" w:cs="Times New Roman"/>
          <w:lang w:eastAsia="cs-CZ"/>
        </w:rPr>
        <w:t xml:space="preserve">:   </w:t>
      </w:r>
      <w:proofErr w:type="gramEnd"/>
      <w:r w:rsidRPr="00AE0D0C">
        <w:rPr>
          <w:rFonts w:eastAsia="Times New Roman" w:cs="Times New Roman"/>
          <w:lang w:eastAsia="cs-CZ"/>
        </w:rPr>
        <w:t xml:space="preserve">  </w:t>
      </w:r>
      <w:r w:rsidR="00EF3F0A">
        <w:rPr>
          <w:rFonts w:eastAsia="Times New Roman" w:cs="Times New Roman"/>
          <w:lang w:eastAsia="cs-CZ"/>
        </w:rPr>
        <w:t xml:space="preserve">       </w:t>
      </w:r>
      <w:r w:rsidRPr="00AE0D0C">
        <w:rPr>
          <w:rFonts w:eastAsia="Times New Roman" w:cs="Times New Roman"/>
          <w:lang w:eastAsia="cs-CZ"/>
        </w:rPr>
        <w:t>seznam poddodavatelů</w:t>
      </w:r>
    </w:p>
    <w:p w14:paraId="1416137A" w14:textId="66339CF0" w:rsidR="00033414" w:rsidRPr="00593AE5" w:rsidRDefault="00033414" w:rsidP="00EF3F0A">
      <w:pPr>
        <w:overflowPunct w:val="0"/>
        <w:autoSpaceDE w:val="0"/>
        <w:autoSpaceDN w:val="0"/>
        <w:adjustRightInd w:val="0"/>
        <w:spacing w:after="0" w:line="240" w:lineRule="auto"/>
        <w:ind w:left="1843" w:hanging="1843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E3315C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F569C0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A68752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375F11BC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64CCFCE4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759FB87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0C04FE0" w14:textId="270E9610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CB3AD5">
        <w:rPr>
          <w:noProof/>
          <w:highlight w:val="yellow"/>
        </w:rPr>
        <w:t>[DOPLNÍ KUPUJÍCÍ</w:t>
      </w:r>
      <w:r w:rsidRPr="00CB3AD5">
        <w:rPr>
          <w:rFonts w:asciiTheme="majorHAnsi" w:hAnsiTheme="majorHAnsi"/>
          <w:noProof/>
          <w:highlight w:val="yellow"/>
        </w:rPr>
        <w:t>]</w:t>
      </w:r>
      <w:r w:rsidRPr="00CB3AD5">
        <w:rPr>
          <w:rFonts w:asciiTheme="majorHAnsi" w:hAnsiTheme="majorHAnsi"/>
          <w:highlight w:val="yellow"/>
        </w:rPr>
        <w:t xml:space="preserve"> </w:t>
      </w:r>
      <w:proofErr w:type="gramStart"/>
      <w:r w:rsidRPr="00CB3AD5">
        <w:rPr>
          <w:rFonts w:asciiTheme="majorHAnsi" w:hAnsiTheme="majorHAnsi"/>
          <w:highlight w:val="yellow"/>
        </w:rPr>
        <w:tab/>
        <w:t xml:space="preserve">  </w:t>
      </w:r>
      <w:r w:rsidRPr="00CB3AD5">
        <w:rPr>
          <w:rFonts w:asciiTheme="majorHAnsi" w:hAnsiTheme="majorHAnsi"/>
          <w:highlight w:val="yellow"/>
        </w:rPr>
        <w:tab/>
      </w:r>
      <w:proofErr w:type="gramEnd"/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0185F" w14:textId="77777777" w:rsidR="00666A2F" w:rsidRDefault="00666A2F" w:rsidP="00962258">
      <w:pPr>
        <w:spacing w:after="0" w:line="240" w:lineRule="auto"/>
      </w:pPr>
      <w:r>
        <w:separator/>
      </w:r>
    </w:p>
  </w:endnote>
  <w:endnote w:type="continuationSeparator" w:id="0">
    <w:p w14:paraId="3A49FEF4" w14:textId="77777777" w:rsidR="00666A2F" w:rsidRDefault="00666A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F2889" w14:textId="77777777" w:rsidR="00666A2F" w:rsidRDefault="00666A2F" w:rsidP="00962258">
      <w:pPr>
        <w:spacing w:after="0" w:line="240" w:lineRule="auto"/>
      </w:pPr>
      <w:r>
        <w:separator/>
      </w:r>
    </w:p>
  </w:footnote>
  <w:footnote w:type="continuationSeparator" w:id="0">
    <w:p w14:paraId="6E676675" w14:textId="77777777" w:rsidR="00666A2F" w:rsidRDefault="00666A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 w:numId="1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34F4F"/>
    <w:rsid w:val="00054D01"/>
    <w:rsid w:val="00065284"/>
    <w:rsid w:val="00072C1E"/>
    <w:rsid w:val="00092B31"/>
    <w:rsid w:val="000A10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22347"/>
    <w:rsid w:val="001550BC"/>
    <w:rsid w:val="001605B9"/>
    <w:rsid w:val="00164A12"/>
    <w:rsid w:val="00170EC5"/>
    <w:rsid w:val="001747C1"/>
    <w:rsid w:val="00174A24"/>
    <w:rsid w:val="00176797"/>
    <w:rsid w:val="001813BF"/>
    <w:rsid w:val="00184743"/>
    <w:rsid w:val="001861B8"/>
    <w:rsid w:val="001A3602"/>
    <w:rsid w:val="001A41E5"/>
    <w:rsid w:val="001B0695"/>
    <w:rsid w:val="001B540F"/>
    <w:rsid w:val="001C22E7"/>
    <w:rsid w:val="001C4874"/>
    <w:rsid w:val="001D70A7"/>
    <w:rsid w:val="001E0F50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F6411"/>
    <w:rsid w:val="003119BE"/>
    <w:rsid w:val="00317167"/>
    <w:rsid w:val="00322681"/>
    <w:rsid w:val="003330E9"/>
    <w:rsid w:val="00341DCF"/>
    <w:rsid w:val="003451B2"/>
    <w:rsid w:val="00346E96"/>
    <w:rsid w:val="00352CF3"/>
    <w:rsid w:val="00357BC6"/>
    <w:rsid w:val="00360166"/>
    <w:rsid w:val="003663AE"/>
    <w:rsid w:val="00385A72"/>
    <w:rsid w:val="003956C6"/>
    <w:rsid w:val="003A63EE"/>
    <w:rsid w:val="003A7A56"/>
    <w:rsid w:val="003B39EC"/>
    <w:rsid w:val="003D06BE"/>
    <w:rsid w:val="003E240E"/>
    <w:rsid w:val="003F49C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0361"/>
    <w:rsid w:val="00511AB9"/>
    <w:rsid w:val="00523EA7"/>
    <w:rsid w:val="00553375"/>
    <w:rsid w:val="005736B7"/>
    <w:rsid w:val="00575E5A"/>
    <w:rsid w:val="005935C5"/>
    <w:rsid w:val="00593AE5"/>
    <w:rsid w:val="00597D00"/>
    <w:rsid w:val="005B3DA8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30862"/>
    <w:rsid w:val="0064111A"/>
    <w:rsid w:val="00660AD3"/>
    <w:rsid w:val="00660FBE"/>
    <w:rsid w:val="00666A2F"/>
    <w:rsid w:val="0067279B"/>
    <w:rsid w:val="00673324"/>
    <w:rsid w:val="00677B7F"/>
    <w:rsid w:val="00677BC8"/>
    <w:rsid w:val="0069537C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5C5"/>
    <w:rsid w:val="00710723"/>
    <w:rsid w:val="00723ED1"/>
    <w:rsid w:val="00726233"/>
    <w:rsid w:val="00730859"/>
    <w:rsid w:val="00743525"/>
    <w:rsid w:val="0074484D"/>
    <w:rsid w:val="007576A4"/>
    <w:rsid w:val="0076286B"/>
    <w:rsid w:val="007635C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28B9"/>
    <w:rsid w:val="007D37B0"/>
    <w:rsid w:val="007D5F54"/>
    <w:rsid w:val="007E0418"/>
    <w:rsid w:val="007E165D"/>
    <w:rsid w:val="007E1996"/>
    <w:rsid w:val="007E4A6E"/>
    <w:rsid w:val="007F56A7"/>
    <w:rsid w:val="007F5EC4"/>
    <w:rsid w:val="00807DD0"/>
    <w:rsid w:val="00823FBB"/>
    <w:rsid w:val="008565B7"/>
    <w:rsid w:val="008648E9"/>
    <w:rsid w:val="008659F3"/>
    <w:rsid w:val="00881A53"/>
    <w:rsid w:val="00886D4B"/>
    <w:rsid w:val="008903EB"/>
    <w:rsid w:val="00893FF1"/>
    <w:rsid w:val="00894AD5"/>
    <w:rsid w:val="00895406"/>
    <w:rsid w:val="008A3568"/>
    <w:rsid w:val="008B1447"/>
    <w:rsid w:val="008D03B9"/>
    <w:rsid w:val="008D6B46"/>
    <w:rsid w:val="008E2DBE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17EB"/>
    <w:rsid w:val="009461FB"/>
    <w:rsid w:val="00962258"/>
    <w:rsid w:val="009678B7"/>
    <w:rsid w:val="00973F65"/>
    <w:rsid w:val="009768EC"/>
    <w:rsid w:val="009833E1"/>
    <w:rsid w:val="00986E0C"/>
    <w:rsid w:val="009900CE"/>
    <w:rsid w:val="00992D9C"/>
    <w:rsid w:val="00996CB8"/>
    <w:rsid w:val="009A0691"/>
    <w:rsid w:val="009A6000"/>
    <w:rsid w:val="009B14A9"/>
    <w:rsid w:val="009B2E97"/>
    <w:rsid w:val="009D1BE5"/>
    <w:rsid w:val="009D5BC0"/>
    <w:rsid w:val="009E07F4"/>
    <w:rsid w:val="009F392E"/>
    <w:rsid w:val="00A0009B"/>
    <w:rsid w:val="00A057F3"/>
    <w:rsid w:val="00A067B4"/>
    <w:rsid w:val="00A24EC2"/>
    <w:rsid w:val="00A33BB9"/>
    <w:rsid w:val="00A349F7"/>
    <w:rsid w:val="00A453A2"/>
    <w:rsid w:val="00A47D6D"/>
    <w:rsid w:val="00A5087C"/>
    <w:rsid w:val="00A5637A"/>
    <w:rsid w:val="00A567FC"/>
    <w:rsid w:val="00A57B07"/>
    <w:rsid w:val="00A606A7"/>
    <w:rsid w:val="00A6177B"/>
    <w:rsid w:val="00A66136"/>
    <w:rsid w:val="00A830FD"/>
    <w:rsid w:val="00A87725"/>
    <w:rsid w:val="00A91C7A"/>
    <w:rsid w:val="00A93205"/>
    <w:rsid w:val="00A96888"/>
    <w:rsid w:val="00AA4CBB"/>
    <w:rsid w:val="00AA52E0"/>
    <w:rsid w:val="00AA65FA"/>
    <w:rsid w:val="00AA7351"/>
    <w:rsid w:val="00AB2F7F"/>
    <w:rsid w:val="00AB3B91"/>
    <w:rsid w:val="00AD056F"/>
    <w:rsid w:val="00AD6731"/>
    <w:rsid w:val="00AE0D0C"/>
    <w:rsid w:val="00AE3788"/>
    <w:rsid w:val="00AF5155"/>
    <w:rsid w:val="00B03CF9"/>
    <w:rsid w:val="00B15D0D"/>
    <w:rsid w:val="00B25AED"/>
    <w:rsid w:val="00B51FE0"/>
    <w:rsid w:val="00B56FC3"/>
    <w:rsid w:val="00B75EE1"/>
    <w:rsid w:val="00B77481"/>
    <w:rsid w:val="00B8518B"/>
    <w:rsid w:val="00B9721B"/>
    <w:rsid w:val="00BC51D3"/>
    <w:rsid w:val="00BD32CD"/>
    <w:rsid w:val="00BD7E91"/>
    <w:rsid w:val="00BF3A33"/>
    <w:rsid w:val="00C02D0A"/>
    <w:rsid w:val="00C03A6E"/>
    <w:rsid w:val="00C03A71"/>
    <w:rsid w:val="00C065F2"/>
    <w:rsid w:val="00C14266"/>
    <w:rsid w:val="00C24C30"/>
    <w:rsid w:val="00C3718B"/>
    <w:rsid w:val="00C44F6A"/>
    <w:rsid w:val="00C47AE3"/>
    <w:rsid w:val="00C51087"/>
    <w:rsid w:val="00C63CB5"/>
    <w:rsid w:val="00C82BF5"/>
    <w:rsid w:val="00CA0B10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607"/>
    <w:rsid w:val="00D36EA8"/>
    <w:rsid w:val="00D37801"/>
    <w:rsid w:val="00D40137"/>
    <w:rsid w:val="00D4108E"/>
    <w:rsid w:val="00D6163D"/>
    <w:rsid w:val="00D6524B"/>
    <w:rsid w:val="00D659BD"/>
    <w:rsid w:val="00D77DE5"/>
    <w:rsid w:val="00D831A3"/>
    <w:rsid w:val="00D84A66"/>
    <w:rsid w:val="00D85C5B"/>
    <w:rsid w:val="00D918CB"/>
    <w:rsid w:val="00DA4F1C"/>
    <w:rsid w:val="00DC41AD"/>
    <w:rsid w:val="00DC75F3"/>
    <w:rsid w:val="00DD46F3"/>
    <w:rsid w:val="00DD69A9"/>
    <w:rsid w:val="00DE55BF"/>
    <w:rsid w:val="00DE56F2"/>
    <w:rsid w:val="00DF116D"/>
    <w:rsid w:val="00E10153"/>
    <w:rsid w:val="00E17FE7"/>
    <w:rsid w:val="00E22125"/>
    <w:rsid w:val="00E3315C"/>
    <w:rsid w:val="00E34A57"/>
    <w:rsid w:val="00E652C5"/>
    <w:rsid w:val="00E6548C"/>
    <w:rsid w:val="00E7068E"/>
    <w:rsid w:val="00E967DA"/>
    <w:rsid w:val="00EA1DA7"/>
    <w:rsid w:val="00EA608E"/>
    <w:rsid w:val="00EB104F"/>
    <w:rsid w:val="00EC7528"/>
    <w:rsid w:val="00ED14BD"/>
    <w:rsid w:val="00EE2D69"/>
    <w:rsid w:val="00EF3F0A"/>
    <w:rsid w:val="00F010DC"/>
    <w:rsid w:val="00F02E2E"/>
    <w:rsid w:val="00F0533E"/>
    <w:rsid w:val="00F06186"/>
    <w:rsid w:val="00F1048D"/>
    <w:rsid w:val="00F12DEC"/>
    <w:rsid w:val="00F164CE"/>
    <w:rsid w:val="00F1715C"/>
    <w:rsid w:val="00F20995"/>
    <w:rsid w:val="00F252D1"/>
    <w:rsid w:val="00F30576"/>
    <w:rsid w:val="00F310F8"/>
    <w:rsid w:val="00F35939"/>
    <w:rsid w:val="00F36C66"/>
    <w:rsid w:val="00F45607"/>
    <w:rsid w:val="00F63543"/>
    <w:rsid w:val="00F659EB"/>
    <w:rsid w:val="00F67380"/>
    <w:rsid w:val="00F812AB"/>
    <w:rsid w:val="00F86BA6"/>
    <w:rsid w:val="00FB5045"/>
    <w:rsid w:val="00FC1CBA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Nadpis2-1">
    <w:name w:val="_Nadpis_2-1"/>
    <w:basedOn w:val="Normln"/>
    <w:next w:val="Normln"/>
    <w:qFormat/>
    <w:rsid w:val="00A93205"/>
    <w:pPr>
      <w:keepNext/>
      <w:numPr>
        <w:numId w:val="17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A93205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93205"/>
    <w:pPr>
      <w:numPr>
        <w:ilvl w:val="2"/>
        <w:numId w:val="17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Nadpis2-2Char">
    <w:name w:val="_Nadpis_2-2 Char"/>
    <w:link w:val="Nadpis2-2"/>
    <w:rsid w:val="00A93205"/>
    <w:rPr>
      <w:rFonts w:ascii="Verdana" w:eastAsia="Verdana" w:hAnsi="Verdana" w:cs="Times New Roman"/>
      <w:b/>
      <w:sz w:val="20"/>
    </w:rPr>
  </w:style>
  <w:style w:type="character" w:customStyle="1" w:styleId="Text2-1Char">
    <w:name w:val="_Text_2-1 Char"/>
    <w:basedOn w:val="Standardnpsmoodstavce"/>
    <w:link w:val="Text2-1"/>
    <w:rsid w:val="00A93205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93205"/>
    <w:pPr>
      <w:numPr>
        <w:ilvl w:val="3"/>
      </w:numPr>
      <w:tabs>
        <w:tab w:val="clear" w:pos="1701"/>
      </w:tabs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9ABED2-4AC7-48EF-9432-8C304B0D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4</cp:revision>
  <cp:lastPrinted>2023-05-10T12:25:00Z</cp:lastPrinted>
  <dcterms:created xsi:type="dcterms:W3CDTF">2023-04-26T10:48:00Z</dcterms:created>
  <dcterms:modified xsi:type="dcterms:W3CDTF">2023-05-10T12:25:00Z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